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306"/>
        </w:tabs>
        <w:spacing w:line="480" w:lineRule="auto"/>
        <w:jc w:val="cente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pPr>
      <w:bookmarkStart w:id="12" w:name="_GoBack"/>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t>目录</w:t>
      </w:r>
    </w:p>
    <w:p>
      <w:pPr>
        <w:pStyle w:val="4"/>
        <w:tabs>
          <w:tab w:val="right" w:leader="dot" w:pos="8306"/>
        </w:tabs>
        <w:spacing w:line="480" w:lineRule="auto"/>
        <w:rPr>
          <w:rFonts w:hint="eastAsia" w:ascii="宋体" w:hAnsi="宋体" w:eastAsia="宋体" w:cs="宋体"/>
          <w:sz w:val="24"/>
          <w:szCs w:val="32"/>
        </w:rPr>
      </w:pPr>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fldChar w:fldCharType="begin"/>
      </w:r>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instrText xml:space="preserve"> </w:instrText>
      </w:r>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instrText xml:space="preserve">toc</w:instrText>
      </w:r>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instrText xml:space="preserve"> </w:instrText>
      </w:r>
      <w:r>
        <w:rPr>
          <w:rFonts w:hint="eastAsia" w:ascii="宋体" w:hAnsi="宋体" w:eastAsia="宋体" w:cs="宋体"/>
          <w:b w:val="0"/>
          <w:bCs w:val="0"/>
          <w:color w:val="000000" w:themeColor="text1"/>
          <w:spacing w:val="-2"/>
          <w:kern w:val="0"/>
          <w:sz w:val="48"/>
          <w:szCs w:val="48"/>
          <w:lang w:val="en-US" w:eastAsia="zh-CN" w:bidi="ar"/>
          <w14:textFill>
            <w14:solidFill>
              <w14:schemeClr w14:val="tx1"/>
            </w14:solidFill>
          </w14:textFill>
        </w:rPr>
        <w:fldChar w:fldCharType="separate"/>
      </w:r>
      <w:r>
        <w:rPr>
          <w:rFonts w:hint="eastAsia" w:ascii="宋体" w:hAnsi="宋体" w:eastAsia="宋体" w:cs="宋体"/>
          <w:sz w:val="24"/>
          <w:szCs w:val="32"/>
          <w:lang w:val="en-US" w:eastAsia="zh-CN"/>
        </w:rPr>
        <w:t>门诊特殊慢性病医保报销流程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_Toc2243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p>
    <w:p>
      <w:pPr>
        <w:pStyle w:val="4"/>
        <w:tabs>
          <w:tab w:val="right" w:leader="dot" w:pos="8306"/>
        </w:tabs>
        <w:spacing w:line="480" w:lineRule="auto"/>
        <w:rPr>
          <w:rFonts w:hint="eastAsia" w:ascii="宋体" w:hAnsi="宋体" w:eastAsia="宋体" w:cs="宋体"/>
          <w:sz w:val="24"/>
          <w:szCs w:val="32"/>
        </w:rPr>
      </w:pPr>
      <w:r>
        <w:rPr>
          <w:rFonts w:hint="eastAsia" w:ascii="宋体" w:hAnsi="宋体" w:eastAsia="宋体" w:cs="宋体"/>
          <w:sz w:val="24"/>
          <w:szCs w:val="32"/>
          <w:lang w:val="en-US" w:eastAsia="zh-CN"/>
        </w:rPr>
        <w:t>城镇职工、城乡居民基本医疗保险待遇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_Toc5012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p>
    <w:p>
      <w:pPr>
        <w:pStyle w:val="4"/>
        <w:tabs>
          <w:tab w:val="right" w:leader="dot" w:pos="8306"/>
        </w:tabs>
        <w:spacing w:line="480" w:lineRule="auto"/>
        <w:rPr>
          <w:rFonts w:hint="eastAsia" w:ascii="宋体" w:hAnsi="宋体" w:eastAsia="宋体" w:cs="宋体"/>
          <w:sz w:val="24"/>
          <w:szCs w:val="32"/>
        </w:rPr>
      </w:pPr>
      <w:r>
        <w:rPr>
          <w:rFonts w:hint="eastAsia" w:ascii="宋体" w:hAnsi="宋体" w:eastAsia="宋体" w:cs="宋体"/>
          <w:sz w:val="24"/>
          <w:szCs w:val="32"/>
          <w:lang w:val="en-US" w:eastAsia="zh-CN"/>
        </w:rPr>
        <w:t>职工医保生育保险医疗待遇</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_Toc2352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p>
    <w:p>
      <w:pPr>
        <w:pStyle w:val="4"/>
        <w:tabs>
          <w:tab w:val="right" w:leader="dot" w:pos="8306"/>
        </w:tabs>
        <w:spacing w:line="480" w:lineRule="auto"/>
        <w:rPr>
          <w:rFonts w:hint="eastAsia" w:ascii="宋体" w:hAnsi="宋体" w:eastAsia="宋体" w:cs="宋体"/>
          <w:sz w:val="24"/>
          <w:szCs w:val="32"/>
        </w:rPr>
      </w:pPr>
      <w:r>
        <w:rPr>
          <w:rFonts w:hint="eastAsia" w:ascii="宋体" w:hAnsi="宋体" w:eastAsia="宋体" w:cs="宋体"/>
          <w:sz w:val="24"/>
          <w:szCs w:val="32"/>
          <w:lang w:val="en-US" w:eastAsia="zh-CN"/>
        </w:rPr>
        <w:t>贫困人口入、出院医保报销流程</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_Toc5729 \h </w:instrText>
      </w:r>
      <w:r>
        <w:rPr>
          <w:rFonts w:hint="eastAsia" w:ascii="宋体" w:hAnsi="宋体" w:eastAsia="宋体" w:cs="宋体"/>
          <w:sz w:val="24"/>
          <w:szCs w:val="32"/>
        </w:rPr>
        <w:fldChar w:fldCharType="separate"/>
      </w:r>
      <w:r>
        <w:rPr>
          <w:rFonts w:hint="eastAsia" w:ascii="宋体" w:hAnsi="宋体" w:eastAsia="宋体" w:cs="宋体"/>
          <w:sz w:val="24"/>
          <w:szCs w:val="32"/>
        </w:rPr>
        <w:t>6</w:t>
      </w:r>
      <w:r>
        <w:rPr>
          <w:rFonts w:hint="eastAsia" w:ascii="宋体" w:hAnsi="宋体" w:eastAsia="宋体" w:cs="宋体"/>
          <w:sz w:val="24"/>
          <w:szCs w:val="32"/>
        </w:rPr>
        <w:fldChar w:fldCharType="end"/>
      </w:r>
    </w:p>
    <w:p>
      <w:pPr>
        <w:adjustRightInd w:val="0"/>
        <w:spacing w:line="480" w:lineRule="auto"/>
        <w:jc w:val="center"/>
        <w:outlineLvl w:val="9"/>
        <w:rPr>
          <w:rFonts w:hint="eastAsia" w:ascii="宋体" w:hAnsi="宋体" w:eastAsia="宋体" w:cs="宋体"/>
          <w:b w:val="0"/>
          <w:bCs w:val="0"/>
          <w:color w:val="000000" w:themeColor="text1"/>
          <w:spacing w:val="-2"/>
          <w:kern w:val="0"/>
          <w:sz w:val="40"/>
          <w:szCs w:val="40"/>
          <w:lang w:val="en-US" w:eastAsia="zh-CN" w:bidi="ar"/>
          <w14:textFill>
            <w14:solidFill>
              <w14:schemeClr w14:val="tx1"/>
            </w14:solidFill>
          </w14:textFill>
        </w:rPr>
      </w:pPr>
      <w:r>
        <w:rPr>
          <w:rFonts w:hint="eastAsia" w:ascii="宋体" w:hAnsi="宋体" w:eastAsia="宋体" w:cs="宋体"/>
          <w:bCs w:val="0"/>
          <w:color w:val="000000" w:themeColor="text1"/>
          <w:spacing w:val="-2"/>
          <w:kern w:val="0"/>
          <w:sz w:val="24"/>
          <w:szCs w:val="48"/>
          <w:lang w:val="en-US" w:eastAsia="zh-CN" w:bidi="ar"/>
          <w14:textFill>
            <w14:solidFill>
              <w14:schemeClr w14:val="tx1"/>
            </w14:solidFill>
          </w14:textFill>
        </w:rPr>
        <w:fldChar w:fldCharType="end"/>
      </w:r>
    </w:p>
    <w:p>
      <w:pPr>
        <w:pStyle w:val="2"/>
        <w:bidi w:val="0"/>
        <w:jc w:val="center"/>
        <w:rPr>
          <w:rFonts w:hint="eastAsia" w:ascii="宋体" w:hAnsi="宋体" w:eastAsia="宋体" w:cs="宋体"/>
          <w:b w:val="0"/>
          <w:bCs w:val="0"/>
          <w:color w:val="000000" w:themeColor="text1"/>
          <w:spacing w:val="-2"/>
          <w:kern w:val="0"/>
          <w:szCs w:val="40"/>
          <w:lang w:val="en-US" w:eastAsia="zh-CN" w:bidi="ar"/>
          <w14:textFill>
            <w14:solidFill>
              <w14:schemeClr w14:val="tx1"/>
            </w14:solidFill>
          </w14:textFill>
        </w:rPr>
      </w:pPr>
      <w:bookmarkStart w:id="0" w:name="_Toc2243"/>
      <w:bookmarkStart w:id="1" w:name="_Toc31075"/>
      <w:r>
        <w:rPr>
          <w:rFonts w:hint="eastAsia" w:ascii="宋体" w:hAnsi="宋体" w:eastAsia="宋体" w:cs="宋体"/>
          <w:lang w:val="en-US" w:eastAsia="zh-CN"/>
        </w:rPr>
        <w:t>门诊特殊慢性病医保报销流程</w:t>
      </w:r>
      <w:bookmarkEnd w:id="0"/>
    </w:p>
    <w:p>
      <w:pPr>
        <w:adjustRightInd w:val="0"/>
        <w:spacing w:line="480" w:lineRule="auto"/>
        <w:ind w:firstLine="480" w:firstLineChars="20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只</w:t>
      </w:r>
      <w:r>
        <w:rPr>
          <w:rFonts w:hint="eastAsia" w:ascii="宋体" w:hAnsi="宋体" w:eastAsia="宋体" w:cs="宋体"/>
          <w:i w:val="0"/>
          <w:iCs w:val="0"/>
          <w:caps w:val="0"/>
          <w:color w:val="auto"/>
          <w:spacing w:val="0"/>
          <w:sz w:val="24"/>
          <w:szCs w:val="24"/>
          <w:shd w:val="clear" w:fill="FFFFFF"/>
        </w:rPr>
        <w:t>针对于所</w:t>
      </w:r>
      <w:r>
        <w:rPr>
          <w:rFonts w:hint="eastAsia" w:ascii="宋体" w:hAnsi="宋体" w:eastAsia="宋体" w:cs="宋体"/>
          <w:i w:val="0"/>
          <w:iCs w:val="0"/>
          <w:caps w:val="0"/>
          <w:color w:val="auto"/>
          <w:spacing w:val="0"/>
          <w:sz w:val="24"/>
          <w:szCs w:val="24"/>
          <w:shd w:val="clear" w:fill="FFFFFF"/>
          <w:lang w:val="en-US" w:eastAsia="zh-CN"/>
        </w:rPr>
        <w:t>办理</w:t>
      </w:r>
      <w:r>
        <w:rPr>
          <w:rFonts w:hint="eastAsia" w:ascii="宋体" w:hAnsi="宋体" w:eastAsia="宋体" w:cs="宋体"/>
          <w:i w:val="0"/>
          <w:iCs w:val="0"/>
          <w:caps w:val="0"/>
          <w:color w:val="auto"/>
          <w:spacing w:val="0"/>
          <w:sz w:val="24"/>
          <w:szCs w:val="24"/>
          <w:shd w:val="clear" w:fill="FFFFFF"/>
        </w:rPr>
        <w:t>的慢性病</w:t>
      </w:r>
      <w:r>
        <w:rPr>
          <w:rFonts w:hint="eastAsia" w:ascii="宋体" w:hAnsi="宋体" w:eastAsia="宋体" w:cs="宋体"/>
          <w:i w:val="0"/>
          <w:iCs w:val="0"/>
          <w:caps w:val="0"/>
          <w:color w:val="auto"/>
          <w:spacing w:val="0"/>
          <w:sz w:val="24"/>
          <w:szCs w:val="24"/>
          <w:shd w:val="clear" w:fill="FFFFFF"/>
          <w:lang w:eastAsia="zh-CN"/>
        </w:rPr>
        <w:t>种才</w:t>
      </w:r>
      <w:r>
        <w:rPr>
          <w:rFonts w:hint="eastAsia" w:ascii="宋体" w:hAnsi="宋体" w:eastAsia="宋体" w:cs="宋体"/>
          <w:i w:val="0"/>
          <w:iCs w:val="0"/>
          <w:caps w:val="0"/>
          <w:color w:val="auto"/>
          <w:spacing w:val="0"/>
          <w:sz w:val="24"/>
          <w:szCs w:val="24"/>
          <w:shd w:val="clear" w:fill="FFFFFF"/>
        </w:rPr>
        <w:t>能</w:t>
      </w:r>
      <w:r>
        <w:rPr>
          <w:rFonts w:hint="eastAsia" w:ascii="宋体" w:hAnsi="宋体" w:eastAsia="宋体" w:cs="宋体"/>
          <w:i w:val="0"/>
          <w:iCs w:val="0"/>
          <w:caps w:val="0"/>
          <w:color w:val="333333"/>
          <w:spacing w:val="0"/>
          <w:sz w:val="24"/>
          <w:szCs w:val="24"/>
          <w:shd w:val="clear" w:fill="FFFFFF"/>
        </w:rPr>
        <w:t>够报销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t>用药与诊断相符</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sz w:val="24"/>
          <w:szCs w:val="24"/>
          <w:shd w:val="clear" w:fill="FFFFFF"/>
          <w:lang w:val="en-US" w:eastAsia="zh-CN"/>
        </w:rPr>
        <w:t>和病种无关的检查和药品不给予报销。开具处方：特殊慢性病种的药品、检查应与非特殊慢性病种分开开。原则上开药量为1个月，对确有需要的慢性病参保人员，经诊治医生评估后，一次处方药量可在遵循医嘱的条件下延长至12周，医保可实行按长期处方结算。</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挂号→就诊（出示慢性病卡）</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t>医生经诊治后，开具慢性病电子处方</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t>医疗服务监督窗口审批（政策范围内给予报销，审批不通过告知病人自费）</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t>缴费（至人工窗口出示医保卡或医保电子凭证进行医保报销）</w:t>
      </w:r>
    </w:p>
    <w:p>
      <w:pPr>
        <w:tabs>
          <w:tab w:val="left" w:pos="2619"/>
          <w:tab w:val="left" w:pos="6588"/>
        </w:tabs>
        <w:adjustRightInd w:val="0"/>
        <w:spacing w:line="480" w:lineRule="auto"/>
        <w:ind w:firstLine="480" w:firstLineChars="200"/>
        <w:jc w:val="center"/>
        <w:outlineLvl w:val="9"/>
        <w:rPr>
          <w:rFonts w:hint="eastAsia" w:ascii="宋体" w:hAnsi="宋体" w:eastAsia="宋体" w:cs="宋体"/>
          <w:i w:val="0"/>
          <w:iCs w:val="0"/>
          <w:caps w:val="0"/>
          <w:color w:val="333333"/>
          <w:spacing w:val="0"/>
          <w:sz w:val="24"/>
          <w:szCs w:val="24"/>
          <w:shd w:val="clear" w:fill="FFFFFF"/>
          <w:lang w:val="en-US" w:eastAsia="zh-CN"/>
        </w:rPr>
      </w:pPr>
      <w:bookmarkStart w:id="2" w:name="_Toc15402"/>
      <w:r>
        <w:rPr>
          <w:rFonts w:hint="eastAsia" w:ascii="宋体" w:hAnsi="宋体" w:eastAsia="宋体" w:cs="宋体"/>
          <w:bCs/>
          <w:sz w:val="24"/>
          <w:szCs w:val="24"/>
          <w:lang w:eastAsia="zh-CN"/>
        </w:rPr>
        <w:t>门诊特殊慢性病病种及医保支付</w:t>
      </w:r>
      <w:bookmarkEnd w:id="2"/>
    </w:p>
    <w:p>
      <w:pPr>
        <w:tabs>
          <w:tab w:val="left" w:pos="610"/>
        </w:tabs>
        <w:spacing w:line="480" w:lineRule="auto"/>
        <w:ind w:firstLine="240" w:firstLineChars="100"/>
        <w:jc w:val="both"/>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（一）</w:t>
      </w:r>
      <w:r>
        <w:rPr>
          <w:rFonts w:hint="eastAsia" w:ascii="宋体" w:hAnsi="宋体" w:eastAsia="宋体" w:cs="宋体"/>
          <w:bCs/>
          <w:sz w:val="24"/>
          <w:szCs w:val="24"/>
        </w:rPr>
        <w:t>城镇职工门诊特殊慢性病</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第一类</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种</w:t>
      </w:r>
      <w:r>
        <w:rPr>
          <w:rFonts w:hint="eastAsia" w:ascii="宋体" w:hAnsi="宋体" w:eastAsia="宋体" w:cs="宋体"/>
          <w:sz w:val="24"/>
          <w:szCs w:val="24"/>
        </w:rPr>
        <w:t>：慢性肾功能衰竭（尿毒症期）、器官移植后抗排斥治疗，恶性肿瘤，精神病，血友病</w:t>
      </w:r>
      <w:r>
        <w:rPr>
          <w:rFonts w:hint="eastAsia" w:ascii="宋体" w:hAnsi="宋体" w:eastAsia="宋体" w:cs="宋体"/>
          <w:sz w:val="24"/>
          <w:szCs w:val="24"/>
          <w:lang w:eastAsia="zh-CN"/>
        </w:rPr>
        <w:t>、地中海贫血（含输血）</w:t>
      </w:r>
      <w:r>
        <w:rPr>
          <w:rFonts w:hint="eastAsia" w:ascii="宋体" w:hAnsi="宋体" w:eastAsia="宋体" w:cs="宋体"/>
          <w:sz w:val="24"/>
          <w:szCs w:val="24"/>
        </w:rPr>
        <w:t>。个人账户用完后直接进入统筹基金，由统筹基金报销85%；</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第二类</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种</w:t>
      </w:r>
      <w:r>
        <w:rPr>
          <w:rFonts w:hint="eastAsia" w:ascii="宋体" w:hAnsi="宋体" w:eastAsia="宋体" w:cs="宋体"/>
          <w:sz w:val="24"/>
          <w:szCs w:val="24"/>
        </w:rPr>
        <w:t>：系统性红斑狼疮，重症肌无力，系统性硬皮病，再生障碍性贫血，帕金森氏综合症，冠心病，脑溢血、脑梗塞、脑血栓形成，慢性活动性肝炎、肝硬化（失代偿期）,慢性阻塞性肺气肿、高血压Ⅲ期、糖尿病合并症</w:t>
      </w:r>
      <w:r>
        <w:rPr>
          <w:rFonts w:hint="eastAsia" w:ascii="宋体" w:hAnsi="宋体" w:eastAsia="宋体" w:cs="宋体"/>
          <w:sz w:val="24"/>
          <w:szCs w:val="24"/>
          <w:lang w:eastAsia="zh-CN"/>
        </w:rPr>
        <w:t>，结核病，慢性心功能</w:t>
      </w:r>
      <w:r>
        <w:rPr>
          <w:rFonts w:hint="eastAsia" w:ascii="宋体" w:hAnsi="宋体" w:eastAsia="宋体" w:cs="宋体"/>
          <w:sz w:val="24"/>
          <w:szCs w:val="24"/>
        </w:rPr>
        <w:t>衰竭</w:t>
      </w:r>
      <w:r>
        <w:rPr>
          <w:rFonts w:hint="eastAsia" w:ascii="宋体" w:hAnsi="宋体" w:eastAsia="宋体" w:cs="宋体"/>
          <w:sz w:val="24"/>
          <w:szCs w:val="24"/>
          <w:lang w:eastAsia="zh-CN"/>
        </w:rPr>
        <w:t>（心脏合并心功能不全Ⅱ级以上），慢性房颤，心肌病（原发性），慢性支气管炎，慢性支气管哮喘，慢性肾病，癫痫，血吸虫病</w:t>
      </w:r>
      <w:r>
        <w:rPr>
          <w:rFonts w:hint="eastAsia" w:ascii="宋体" w:hAnsi="宋体" w:eastAsia="宋体" w:cs="宋体"/>
          <w:sz w:val="24"/>
          <w:szCs w:val="24"/>
        </w:rPr>
        <w:t>。个人账户用完后个人先自付700元，700元自付段以上部分由统筹基金报销75%；</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患有Ⅲ期以下（不含Ⅲ期）的高血压、无合并症的糖尿病参保人员，个人账户用完后个人先自付1000元，1000元自付段以上部分由统筹基金报销65%。</w:t>
      </w:r>
    </w:p>
    <w:bookmarkEnd w:id="1"/>
    <w:p>
      <w:pPr>
        <w:tabs>
          <w:tab w:val="left" w:pos="610"/>
        </w:tabs>
        <w:spacing w:line="480" w:lineRule="auto"/>
        <w:ind w:firstLine="240" w:firstLineChars="100"/>
        <w:jc w:val="both"/>
        <w:outlineLvl w:val="0"/>
        <w:rPr>
          <w:rFonts w:hint="eastAsia" w:ascii="宋体" w:hAnsi="宋体" w:eastAsia="宋体" w:cs="宋体"/>
          <w:bCs/>
          <w:sz w:val="24"/>
          <w:szCs w:val="24"/>
          <w:lang w:eastAsia="zh-CN"/>
        </w:rPr>
      </w:pPr>
      <w:bookmarkStart w:id="3" w:name="_Toc25293"/>
      <w:bookmarkStart w:id="4" w:name="_Toc22688"/>
      <w:r>
        <w:rPr>
          <w:rFonts w:hint="eastAsia" w:ascii="宋体" w:hAnsi="宋体" w:eastAsia="宋体" w:cs="宋体"/>
          <w:bCs/>
          <w:sz w:val="24"/>
          <w:szCs w:val="24"/>
          <w:lang w:eastAsia="zh-CN"/>
        </w:rPr>
        <w:t>（二）城乡居民门诊特殊慢性病</w:t>
      </w:r>
      <w:bookmarkEnd w:id="3"/>
    </w:p>
    <w:p>
      <w:pPr>
        <w:spacing w:line="48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医疗待遇：</w:t>
      </w:r>
      <w:r>
        <w:rPr>
          <w:rFonts w:hint="eastAsia" w:ascii="宋体" w:hAnsi="宋体" w:eastAsia="宋体" w:cs="宋体"/>
          <w:sz w:val="24"/>
          <w:szCs w:val="24"/>
        </w:rPr>
        <w:t>门诊特殊慢性病执行住院医疗起付标准和报销比例，其中：年度内最高支付限额I类为10万元；II类为5000元；与住院统筹基金最高支付限额合并计算。</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1、门诊特殊慢性病：城乡居民门诊特殊慢性病病种原则上暂定27种，分二类。</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I类，8种：(1)恶性肿瘤;(2)系统性红斑狼疮;(3)再生障碍性贫血;(4)帕金森氏综合症;(5)慢性肾功能衰竭（尿毒症期);(6)器官移植后抗排斥治疗;(7)地中海贫血(含输血);（8)血友病。</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I类，19种：(9)精神病;(10)高血压病;(11)糖尿病;(12)结核病;(13)冠状动脉粥样硬化性心脏病（冠状支架植入术后);(14)慢性心功能衰竭（心脏合并心功能不全2级以上);(15)慢性房颤;(16)心肌病（原发性);(17)慢性肝炎;(18)慢性支气管炎;(19)慢性阻塞性肺疾病;(20)慢性支气管哮喘;(21)肝硬化;(22)慢性肾病;(23)脑卒中后遗症;(24)癫痫;(25)重症肌无力;(26)血吸虫病;(27)儿童生长激素缺乏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58"/>
        </w:tabs>
        <w:spacing w:before="0" w:beforeAutospacing="0" w:after="0" w:afterAutospacing="0" w:line="480" w:lineRule="auto"/>
        <w:ind w:right="0" w:firstLine="480" w:firstLineChars="200"/>
        <w:jc w:val="left"/>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FF"/>
          <w:spacing w:val="0"/>
          <w:sz w:val="24"/>
          <w:szCs w:val="24"/>
          <w:shd w:val="clear" w:fill="FFFFFF"/>
          <w:lang w:val="en-US" w:eastAsia="zh-CN"/>
        </w:rPr>
        <w:t>江西省医疗保障局关于印发《江西省门诊慢性病、特殊病医疗保障管理办法》（以下简称《办法》）</w:t>
      </w:r>
      <w:r>
        <w:rPr>
          <w:rFonts w:hint="eastAsia" w:ascii="宋体" w:hAnsi="宋体" w:eastAsia="宋体" w:cs="宋体"/>
          <w:i w:val="0"/>
          <w:iCs w:val="0"/>
          <w:caps w:val="0"/>
          <w:color w:val="252525"/>
          <w:spacing w:val="0"/>
          <w:sz w:val="24"/>
          <w:szCs w:val="24"/>
          <w:shd w:val="clear" w:fill="FFFFFF"/>
          <w:lang w:val="en-US" w:eastAsia="zh-CN"/>
        </w:rPr>
        <w:t>，</w:t>
      </w:r>
      <w:r>
        <w:rPr>
          <w:rFonts w:hint="eastAsia" w:ascii="宋体" w:hAnsi="宋体" w:eastAsia="宋体" w:cs="宋体"/>
          <w:i w:val="0"/>
          <w:iCs w:val="0"/>
          <w:caps w:val="0"/>
          <w:color w:val="0000FF"/>
          <w:spacing w:val="0"/>
          <w:sz w:val="24"/>
          <w:szCs w:val="24"/>
          <w:shd w:val="clear" w:fill="FFFFFF"/>
          <w:lang w:val="en-US" w:eastAsia="zh-CN"/>
        </w:rPr>
        <w:t>自2024年1月1日起正式施行。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58"/>
        </w:tabs>
        <w:spacing w:before="0" w:beforeAutospacing="0" w:after="0" w:afterAutospacing="0" w:line="480" w:lineRule="auto"/>
        <w:ind w:left="0" w:right="0" w:firstLine="640"/>
        <w:jc w:val="left"/>
        <w:rPr>
          <w:rFonts w:hint="eastAsia" w:ascii="宋体" w:hAnsi="宋体" w:eastAsia="宋体" w:cs="宋体"/>
          <w:i w:val="0"/>
          <w:iCs w:val="0"/>
          <w:caps w:val="0"/>
          <w:color w:val="252525"/>
          <w:spacing w:val="0"/>
          <w:sz w:val="24"/>
          <w:szCs w:val="24"/>
          <w:shd w:val="clear" w:fill="FFFFFF"/>
          <w:lang w:val="en-US" w:eastAsia="zh-CN"/>
        </w:rPr>
      </w:pPr>
      <w:r>
        <w:rPr>
          <w:rFonts w:hint="eastAsia" w:ascii="宋体" w:hAnsi="宋体" w:eastAsia="宋体" w:cs="宋体"/>
          <w:i w:val="0"/>
          <w:iCs w:val="0"/>
          <w:caps w:val="0"/>
          <w:color w:val="252525"/>
          <w:spacing w:val="0"/>
          <w:sz w:val="24"/>
          <w:szCs w:val="24"/>
          <w:shd w:val="clear" w:fill="FFFFFF"/>
          <w:lang w:val="en-US" w:eastAsia="zh-CN"/>
        </w:rPr>
        <w:t>《办法》规定Ⅰ类、Ⅱ类门诊慢特病不设起付线，并按照就诊医疗机构住院报销比例执行；一个Ⅱ类或者多个Ⅱ类门诊慢特病年度基金最高支付限额由各统筹区医疗保障行政部门确定。</w:t>
      </w:r>
    </w:p>
    <w:p>
      <w:pPr>
        <w:rPr>
          <w:rFonts w:hint="eastAsia" w:ascii="宋体" w:hAnsi="宋体" w:eastAsia="宋体" w:cs="宋体"/>
          <w:sz w:val="28"/>
          <w:szCs w:val="28"/>
        </w:rPr>
      </w:pPr>
    </w:p>
    <w:p>
      <w:pPr>
        <w:pStyle w:val="2"/>
        <w:bidi w:val="0"/>
        <w:jc w:val="center"/>
        <w:rPr>
          <w:rFonts w:hint="eastAsia" w:ascii="宋体" w:hAnsi="宋体" w:eastAsia="宋体" w:cs="宋体"/>
          <w:lang w:val="en-US" w:eastAsia="zh-CN"/>
        </w:rPr>
      </w:pPr>
      <w:bookmarkStart w:id="5" w:name="_Toc5012"/>
      <w:r>
        <w:rPr>
          <w:rFonts w:hint="eastAsia" w:ascii="宋体" w:hAnsi="宋体" w:eastAsia="宋体" w:cs="宋体"/>
          <w:lang w:val="en-US" w:eastAsia="zh-CN"/>
        </w:rPr>
        <w:t>城镇职工、城乡居民基本医疗保险待遇</w:t>
      </w:r>
      <w:bookmarkEnd w:id="5"/>
    </w:p>
    <w:p>
      <w:pPr>
        <w:adjustRightInd w:val="0"/>
        <w:spacing w:line="480" w:lineRule="auto"/>
        <w:jc w:val="both"/>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t>一、职工医保普通门诊费用报销</w:t>
      </w:r>
    </w:p>
    <w:p>
      <w:pPr>
        <w:adjustRightInd w:val="0"/>
        <w:spacing w:line="480" w:lineRule="auto"/>
        <w:ind w:firstLine="472" w:firstLineChars="200"/>
        <w:jc w:val="left"/>
        <w:rPr>
          <w:rFonts w:hint="eastAsia" w:ascii="宋体" w:hAnsi="宋体" w:eastAsia="宋体" w:cs="宋体"/>
          <w:spacing w:val="-2"/>
          <w:kern w:val="0"/>
          <w:sz w:val="24"/>
          <w:szCs w:val="24"/>
          <w:lang w:val="en-US" w:eastAsia="zh-CN" w:bidi="ar"/>
        </w:rPr>
      </w:pPr>
      <w:r>
        <w:rPr>
          <w:rFonts w:hint="eastAsia" w:ascii="宋体" w:hAnsi="宋体" w:eastAsia="宋体" w:cs="宋体"/>
          <w:spacing w:val="-2"/>
          <w:kern w:val="0"/>
          <w:sz w:val="24"/>
          <w:szCs w:val="24"/>
          <w:lang w:val="en-US" w:eastAsia="zh-CN" w:bidi="ar"/>
        </w:rPr>
        <w:t>参保人员在定点医疗机构发生的符合国家和省规定的药品、医用耗材和医疗服务项目范围内的普通门诊医疗费用纳入统筹基金支付。一个自然年度内，统筹基金按下列规定支付：</w:t>
      </w:r>
    </w:p>
    <w:bookmarkEnd w:id="4"/>
    <w:p>
      <w:pPr>
        <w:adjustRightInd w:val="0"/>
        <w:spacing w:line="480" w:lineRule="auto"/>
        <w:ind w:firstLine="472" w:firstLineChars="200"/>
        <w:jc w:val="left"/>
        <w:outlineLvl w:val="0"/>
        <w:rPr>
          <w:rFonts w:hint="eastAsia" w:ascii="宋体" w:hAnsi="宋体" w:eastAsia="宋体" w:cs="宋体"/>
          <w:spacing w:val="-2"/>
          <w:kern w:val="0"/>
          <w:sz w:val="24"/>
          <w:szCs w:val="24"/>
          <w:lang w:val="en-US" w:eastAsia="zh-CN" w:bidi="ar"/>
        </w:rPr>
      </w:pPr>
      <w:bookmarkStart w:id="6" w:name="_Toc15302"/>
      <w:bookmarkStart w:id="7" w:name="_Toc18378"/>
      <w:r>
        <w:rPr>
          <w:rFonts w:hint="eastAsia" w:ascii="宋体" w:hAnsi="宋体" w:eastAsia="宋体" w:cs="宋体"/>
          <w:spacing w:val="-2"/>
          <w:kern w:val="0"/>
          <w:sz w:val="24"/>
          <w:szCs w:val="24"/>
          <w:lang w:val="en-US" w:eastAsia="zh-CN" w:bidi="ar"/>
        </w:rPr>
        <w:t>（一）普通门诊统筹的起付标准为：300 元。</w:t>
      </w:r>
      <w:bookmarkEnd w:id="6"/>
    </w:p>
    <w:p>
      <w:pPr>
        <w:adjustRightInd w:val="0"/>
        <w:spacing w:line="480" w:lineRule="auto"/>
        <w:ind w:firstLine="472" w:firstLineChars="200"/>
        <w:jc w:val="left"/>
        <w:rPr>
          <w:rFonts w:hint="eastAsia" w:ascii="宋体" w:hAnsi="宋体" w:eastAsia="宋体" w:cs="宋体"/>
          <w:spacing w:val="-2"/>
          <w:kern w:val="0"/>
          <w:sz w:val="24"/>
          <w:szCs w:val="24"/>
          <w:lang w:val="en-US" w:eastAsia="zh-CN" w:bidi="ar"/>
        </w:rPr>
      </w:pPr>
      <w:r>
        <w:rPr>
          <w:rFonts w:hint="eastAsia" w:ascii="宋体" w:hAnsi="宋体" w:eastAsia="宋体" w:cs="宋体"/>
          <w:spacing w:val="-2"/>
          <w:kern w:val="0"/>
          <w:sz w:val="24"/>
          <w:szCs w:val="24"/>
          <w:lang w:val="en-US" w:eastAsia="zh-CN" w:bidi="ar"/>
        </w:rPr>
        <w:t>（二）政策范围内支付比例按照医疗机构等级设置为：三级55%，享受职工医保退休待遇的人员支付比例提高 5 个百分点,为60%。</w:t>
      </w:r>
    </w:p>
    <w:p>
      <w:pPr>
        <w:adjustRightInd w:val="0"/>
        <w:spacing w:line="480" w:lineRule="auto"/>
        <w:ind w:firstLine="472" w:firstLineChars="200"/>
        <w:jc w:val="left"/>
        <w:rPr>
          <w:rFonts w:hint="eastAsia" w:ascii="宋体" w:hAnsi="宋体" w:eastAsia="宋体" w:cs="宋体"/>
          <w:spacing w:val="-2"/>
          <w:kern w:val="0"/>
          <w:sz w:val="24"/>
          <w:szCs w:val="24"/>
          <w:lang w:val="en-US" w:eastAsia="zh-CN" w:bidi="ar"/>
        </w:rPr>
      </w:pPr>
      <w:r>
        <w:rPr>
          <w:rFonts w:hint="eastAsia" w:ascii="宋体" w:hAnsi="宋体" w:eastAsia="宋体" w:cs="宋体"/>
          <w:spacing w:val="-2"/>
          <w:kern w:val="0"/>
          <w:sz w:val="24"/>
          <w:szCs w:val="24"/>
          <w:lang w:val="en-US" w:eastAsia="zh-CN" w:bidi="ar"/>
        </w:rPr>
        <w:t>（三）最高支付限额 2000 元；享受职工医保退休待遇的人员年度最高支付限额3000 元。</w:t>
      </w:r>
    </w:p>
    <w:p>
      <w:pPr>
        <w:tabs>
          <w:tab w:val="left" w:pos="610"/>
        </w:tabs>
        <w:spacing w:line="48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住院</w:t>
      </w:r>
      <w:r>
        <w:rPr>
          <w:rFonts w:hint="eastAsia" w:ascii="宋体" w:hAnsi="宋体" w:eastAsia="宋体" w:cs="宋体"/>
          <w:b/>
          <w:bCs/>
          <w:color w:val="000000" w:themeColor="text1"/>
          <w:sz w:val="24"/>
          <w:szCs w:val="24"/>
          <w:lang w:eastAsia="zh-CN"/>
          <w14:textFill>
            <w14:solidFill>
              <w14:schemeClr w14:val="tx1"/>
            </w14:solidFill>
          </w14:textFill>
        </w:rPr>
        <w:t>医疗</w:t>
      </w:r>
      <w:r>
        <w:rPr>
          <w:rFonts w:hint="eastAsia" w:ascii="宋体" w:hAnsi="宋体" w:eastAsia="宋体" w:cs="宋体"/>
          <w:b/>
          <w:bCs/>
          <w:color w:val="000000" w:themeColor="text1"/>
          <w:sz w:val="24"/>
          <w:szCs w:val="24"/>
          <w14:textFill>
            <w14:solidFill>
              <w14:schemeClr w14:val="tx1"/>
            </w14:solidFill>
          </w14:textFill>
        </w:rPr>
        <w:t>待遇</w:t>
      </w:r>
      <w:r>
        <w:rPr>
          <w:rFonts w:hint="eastAsia" w:ascii="宋体" w:hAnsi="宋体" w:eastAsia="宋体" w:cs="宋体"/>
          <w:b/>
          <w:bCs/>
          <w:color w:val="000000" w:themeColor="text1"/>
          <w:sz w:val="24"/>
          <w:szCs w:val="24"/>
          <w:lang w:eastAsia="zh-CN"/>
          <w14:textFill>
            <w14:solidFill>
              <w14:schemeClr w14:val="tx1"/>
            </w14:solidFill>
          </w14:textFill>
        </w:rPr>
        <w:t>（含生育医疗待遇）</w:t>
      </w:r>
    </w:p>
    <w:p>
      <w:pPr>
        <w:adjustRightInd w:val="0"/>
        <w:spacing w:line="480" w:lineRule="auto"/>
        <w:jc w:val="left"/>
        <w:outlineLvl w:val="0"/>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t>（一）城镇职工基本保险住院医疗待遇</w:t>
      </w:r>
      <w:bookmarkEnd w:id="7"/>
    </w:p>
    <w:p>
      <w:pPr>
        <w:adjustRightInd w:val="0"/>
        <w:spacing w:line="480" w:lineRule="auto"/>
        <w:ind w:firstLine="472" w:firstLineChars="200"/>
        <w:jc w:val="left"/>
        <w:rPr>
          <w:rFonts w:hint="eastAsia" w:ascii="宋体" w:hAnsi="宋体" w:eastAsia="宋体" w:cs="宋体"/>
          <w:spacing w:val="-2"/>
          <w:kern w:val="0"/>
          <w:sz w:val="24"/>
          <w:szCs w:val="24"/>
          <w:lang w:val="en-US" w:bidi="ar"/>
        </w:rPr>
      </w:pPr>
      <w:r>
        <w:rPr>
          <w:rFonts w:hint="eastAsia" w:ascii="宋体" w:hAnsi="宋体" w:eastAsia="宋体" w:cs="宋体"/>
          <w:b w:val="0"/>
          <w:bCs w:val="0"/>
          <w:color w:val="000000" w:themeColor="text1"/>
          <w:spacing w:val="-2"/>
          <w:kern w:val="0"/>
          <w:sz w:val="24"/>
          <w:szCs w:val="24"/>
          <w:highlight w:val="none"/>
          <w:lang w:val="en-US" w:eastAsia="zh-CN" w:bidi="ar"/>
          <w14:textFill>
            <w14:solidFill>
              <w14:schemeClr w14:val="tx1"/>
            </w14:solidFill>
          </w14:textFill>
        </w:rPr>
        <w:t>起付标准</w:t>
      </w:r>
      <w:r>
        <w:rPr>
          <w:rFonts w:hint="eastAsia" w:ascii="宋体" w:hAnsi="宋体" w:eastAsia="宋体" w:cs="宋体"/>
          <w:color w:val="000000" w:themeColor="text1"/>
          <w:spacing w:val="-2"/>
          <w:kern w:val="0"/>
          <w:sz w:val="24"/>
          <w:szCs w:val="24"/>
          <w:highlight w:val="none"/>
          <w:lang w:val="en-US" w:eastAsia="zh-CN" w:bidi="ar"/>
          <w14:textFill>
            <w14:solidFill>
              <w14:schemeClr w14:val="tx1"/>
            </w14:solidFill>
          </w14:textFill>
        </w:rPr>
        <w:t>：</w:t>
      </w:r>
      <w:r>
        <w:rPr>
          <w:rFonts w:hint="eastAsia" w:ascii="宋体" w:hAnsi="宋体" w:eastAsia="宋体" w:cs="宋体"/>
          <w:spacing w:val="-2"/>
          <w:kern w:val="0"/>
          <w:sz w:val="24"/>
          <w:szCs w:val="24"/>
          <w:lang w:val="en-US" w:eastAsia="zh-CN" w:bidi="ar"/>
        </w:rPr>
        <w:t>三级定点医院800元。治疗精神病发生的住院医疗费用报销不设起付线；恶性肿瘤放化疗发生的医疗费用报销在一个自然年度内第二次住院起不设起付线。在本市范围内年度内两次以上住院起付标准逐次降低100元，但起付标准最少不低于100元。</w:t>
      </w:r>
    </w:p>
    <w:p>
      <w:pPr>
        <w:pStyle w:val="5"/>
        <w:widowControl/>
        <w:shd w:val="clear" w:color="auto" w:fill="FFFFFF"/>
        <w:spacing w:before="0" w:beforeAutospacing="0" w:after="0" w:afterAutospacing="0" w:line="480" w:lineRule="auto"/>
        <w:ind w:firstLine="450"/>
        <w:jc w:val="both"/>
        <w:rPr>
          <w:rFonts w:hint="eastAsia" w:ascii="宋体" w:hAnsi="宋体" w:eastAsia="宋体" w:cs="宋体"/>
          <w:spacing w:val="-2"/>
          <w:kern w:val="0"/>
          <w:sz w:val="24"/>
          <w:szCs w:val="24"/>
          <w:lang w:val="en-US" w:eastAsia="zh-CN" w:bidi="ar"/>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pacing w:val="-2"/>
          <w:kern w:val="0"/>
          <w:sz w:val="24"/>
          <w:szCs w:val="24"/>
          <w:highlight w:val="none"/>
          <w:lang w:val="en-US" w:eastAsia="zh-CN" w:bidi="ar"/>
          <w14:textFill>
            <w14:solidFill>
              <w14:schemeClr w14:val="tx1"/>
            </w14:solidFill>
          </w14:textFill>
        </w:rPr>
        <w:t>报销比例：</w:t>
      </w:r>
      <w:r>
        <w:rPr>
          <w:rFonts w:hint="eastAsia" w:ascii="宋体" w:hAnsi="宋体" w:eastAsia="宋体" w:cs="宋体"/>
          <w:spacing w:val="-2"/>
          <w:kern w:val="0"/>
          <w:sz w:val="24"/>
          <w:szCs w:val="24"/>
          <w:lang w:val="en-US" w:eastAsia="zh-CN" w:bidi="ar"/>
        </w:rPr>
        <w:t>三级定点医疗机构为85%,年度内统筹基金最高支付限额为10万元。</w:t>
      </w:r>
    </w:p>
    <w:p>
      <w:pPr>
        <w:pStyle w:val="5"/>
        <w:widowControl/>
        <w:shd w:val="clear" w:color="auto" w:fill="FFFFFF"/>
        <w:spacing w:before="0" w:beforeAutospacing="0" w:after="0" w:afterAutospacing="0" w:line="480" w:lineRule="auto"/>
        <w:ind w:firstLine="45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参保职工发生的超过城镇职工基本医疗保险统筹基金年度累计最高支付限额的，且符合城镇职工基本医疗保险支付范围的医疗费用进入大病补偿，由大病保险基金报销90%，年度内累计最高支付限额为</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0万元。</w:t>
      </w:r>
    </w:p>
    <w:p>
      <w:pPr>
        <w:adjustRightInd w:val="0"/>
        <w:spacing w:line="480" w:lineRule="auto"/>
        <w:ind w:firstLine="237" w:firstLineChars="100"/>
        <w:jc w:val="left"/>
        <w:outlineLvl w:val="0"/>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pPr>
      <w:bookmarkStart w:id="8" w:name="_Toc9891"/>
      <w:r>
        <w:rPr>
          <w:rFonts w:hint="eastAsia" w:ascii="宋体" w:hAnsi="宋体" w:eastAsia="宋体" w:cs="宋体"/>
          <w:b/>
          <w:bCs/>
          <w:color w:val="000000" w:themeColor="text1"/>
          <w:spacing w:val="-2"/>
          <w:kern w:val="0"/>
          <w:sz w:val="24"/>
          <w:szCs w:val="24"/>
          <w:lang w:val="en-US" w:eastAsia="zh-CN" w:bidi="ar"/>
          <w14:textFill>
            <w14:solidFill>
              <w14:schemeClr w14:val="tx1"/>
            </w14:solidFill>
          </w14:textFill>
        </w:rPr>
        <w:t>（二）城乡居民基本保险住院医疗待遇</w:t>
      </w:r>
      <w:bookmarkEnd w:id="8"/>
    </w:p>
    <w:p>
      <w:pPr>
        <w:adjustRightInd w:val="0"/>
        <w:spacing w:line="480" w:lineRule="auto"/>
        <w:ind w:firstLine="628"/>
        <w:rPr>
          <w:rFonts w:hint="eastAsia" w:ascii="宋体" w:hAnsi="宋体" w:eastAsia="宋体" w:cs="宋体"/>
          <w:spacing w:val="-2"/>
          <w:kern w:val="0"/>
          <w:sz w:val="24"/>
          <w:szCs w:val="24"/>
          <w:lang w:val="en-US" w:eastAsia="zh-CN" w:bidi="ar"/>
        </w:rPr>
      </w:pPr>
      <w:r>
        <w:rPr>
          <w:rFonts w:hint="eastAsia" w:ascii="宋体" w:hAnsi="宋体" w:eastAsia="宋体" w:cs="宋体"/>
          <w:color w:val="000000" w:themeColor="text1"/>
          <w:spacing w:val="-2"/>
          <w:kern w:val="0"/>
          <w:sz w:val="24"/>
          <w:szCs w:val="24"/>
          <w:highlight w:val="none"/>
          <w:lang w:val="en-US" w:eastAsia="zh-CN" w:bidi="ar"/>
          <w14:textFill>
            <w14:solidFill>
              <w14:schemeClr w14:val="tx1"/>
            </w14:solidFill>
          </w14:textFill>
        </w:rPr>
        <w:t>起付标准：</w:t>
      </w:r>
      <w:r>
        <w:rPr>
          <w:rFonts w:hint="eastAsia" w:ascii="宋体" w:hAnsi="宋体" w:eastAsia="宋体" w:cs="宋体"/>
          <w:spacing w:val="-2"/>
          <w:kern w:val="0"/>
          <w:sz w:val="24"/>
          <w:szCs w:val="24"/>
          <w:lang w:val="en-US" w:eastAsia="zh-CN" w:bidi="ar"/>
        </w:rPr>
        <w:t>三级定点医院600元。</w:t>
      </w:r>
    </w:p>
    <w:p>
      <w:pPr>
        <w:adjustRightInd w:val="0"/>
        <w:spacing w:line="480" w:lineRule="auto"/>
        <w:ind w:firstLine="628"/>
        <w:rPr>
          <w:rFonts w:hint="eastAsia" w:ascii="宋体" w:hAnsi="宋体" w:eastAsia="宋体" w:cs="宋体"/>
          <w:spacing w:val="-2"/>
          <w:kern w:val="0"/>
          <w:sz w:val="24"/>
          <w:szCs w:val="24"/>
          <w:lang w:val="en-US" w:eastAsia="zh-CN" w:bidi="ar"/>
        </w:rPr>
      </w:pPr>
      <w:r>
        <w:rPr>
          <w:rFonts w:hint="eastAsia" w:ascii="宋体" w:hAnsi="宋体" w:eastAsia="宋体" w:cs="宋体"/>
          <w:spacing w:val="-2"/>
          <w:kern w:val="0"/>
          <w:sz w:val="24"/>
          <w:szCs w:val="24"/>
          <w:highlight w:val="none"/>
          <w:lang w:val="en-US" w:eastAsia="zh-CN" w:bidi="ar"/>
        </w:rPr>
        <w:t>报销比例：</w:t>
      </w:r>
      <w:r>
        <w:rPr>
          <w:rFonts w:hint="eastAsia" w:ascii="宋体" w:hAnsi="宋体" w:eastAsia="宋体" w:cs="宋体"/>
          <w:spacing w:val="-2"/>
          <w:kern w:val="0"/>
          <w:sz w:val="24"/>
          <w:szCs w:val="24"/>
          <w:lang w:val="en-US" w:eastAsia="zh-CN" w:bidi="ar"/>
        </w:rPr>
        <w:t>三级定点医院60%。城乡居民基本医保年度补偿限额为10万元。</w:t>
      </w:r>
    </w:p>
    <w:p>
      <w:pPr>
        <w:adjustRightInd w:val="0"/>
        <w:spacing w:line="480" w:lineRule="auto"/>
        <w:ind w:firstLine="628"/>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pPr>
      <w:r>
        <w:rPr>
          <w:rFonts w:hint="eastAsia" w:ascii="宋体" w:hAnsi="宋体" w:eastAsia="宋体" w:cs="宋体"/>
          <w:spacing w:val="-2"/>
          <w:kern w:val="0"/>
          <w:sz w:val="24"/>
          <w:szCs w:val="24"/>
          <w:lang w:val="en-US" w:eastAsia="zh-CN" w:bidi="ar"/>
        </w:rPr>
        <w:t>城乡居民大病保险年度限额为30万元，特困人员、低保对象和返贫致贫人口取消年度最高支付限额。</w:t>
      </w:r>
      <w:r>
        <w:rPr>
          <w:rFonts w:hint="eastAsia" w:ascii="宋体" w:hAnsi="宋体" w:eastAsia="宋体" w:cs="宋体"/>
          <w:color w:val="000000" w:themeColor="text1"/>
          <w:spacing w:val="-2"/>
          <w:kern w:val="0"/>
          <w:sz w:val="24"/>
          <w:szCs w:val="24"/>
          <w:lang w:val="en-US" w:eastAsia="zh-CN" w:bidi="ar"/>
          <w14:textFill>
            <w14:solidFill>
              <w14:schemeClr w14:val="tx1"/>
            </w14:solidFill>
          </w14:textFill>
        </w:rPr>
        <w:t>城乡居民参保人员在基本医疗保险报销后，年度累计政策范围内个人负担部分医药费超过1.9万元的部分，按60%的比例报销。特困人员、低保对象和返贫致贫人口起付线标准为0.95万元，报销比例为65%。</w:t>
      </w:r>
    </w:p>
    <w:p>
      <w:pPr>
        <w:tabs>
          <w:tab w:val="left" w:pos="420"/>
        </w:tabs>
        <w:spacing w:line="48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下列医疗费用不纳入基本医疗保险基金支付范围</w:t>
      </w:r>
    </w:p>
    <w:p>
      <w:pPr>
        <w:numPr>
          <w:ilvl w:val="0"/>
          <w:numId w:val="0"/>
        </w:numPr>
        <w:tabs>
          <w:tab w:val="left" w:pos="210"/>
        </w:tabs>
        <w:spacing w:line="48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应当从工伤保险基金中支付的；</w:t>
      </w:r>
    </w:p>
    <w:p>
      <w:pPr>
        <w:numPr>
          <w:ilvl w:val="0"/>
          <w:numId w:val="0"/>
        </w:numPr>
        <w:tabs>
          <w:tab w:val="left" w:pos="210"/>
        </w:tabs>
        <w:spacing w:line="480" w:lineRule="auto"/>
        <w:rPr>
          <w:rFonts w:hint="eastAsia" w:ascii="宋体" w:hAnsi="宋体" w:eastAsia="宋体" w:cs="宋体"/>
          <w:sz w:val="24"/>
          <w:szCs w:val="24"/>
          <w:lang w:eastAsia="zh-CN"/>
        </w:rPr>
      </w:pPr>
      <w:r>
        <w:rPr>
          <w:rFonts w:hint="eastAsia" w:ascii="宋体" w:hAnsi="宋体" w:eastAsia="宋体" w:cs="宋体"/>
          <w:sz w:val="24"/>
          <w:szCs w:val="24"/>
        </w:rPr>
        <w:t>（2）应当第三人负担的</w:t>
      </w:r>
      <w:r>
        <w:rPr>
          <w:rFonts w:hint="eastAsia" w:ascii="宋体" w:hAnsi="宋体" w:eastAsia="宋体" w:cs="宋体"/>
          <w:sz w:val="24"/>
          <w:szCs w:val="24"/>
          <w:lang w:eastAsia="zh-CN"/>
        </w:rPr>
        <w:t>；</w:t>
      </w:r>
    </w:p>
    <w:p>
      <w:pPr>
        <w:numPr>
          <w:ilvl w:val="0"/>
          <w:numId w:val="0"/>
        </w:numPr>
        <w:tabs>
          <w:tab w:val="left" w:pos="210"/>
        </w:tabs>
        <w:spacing w:line="480" w:lineRule="auto"/>
        <w:rPr>
          <w:rFonts w:hint="eastAsia" w:ascii="宋体" w:hAnsi="宋体" w:eastAsia="宋体" w:cs="宋体"/>
          <w:sz w:val="24"/>
          <w:szCs w:val="24"/>
        </w:rPr>
      </w:pPr>
      <w:r>
        <w:rPr>
          <w:rFonts w:hint="eastAsia" w:ascii="宋体" w:hAnsi="宋体" w:eastAsia="宋体" w:cs="宋体"/>
          <w:sz w:val="24"/>
          <w:szCs w:val="24"/>
        </w:rPr>
        <w:t>（3）应当由公共卫生负担的；</w:t>
      </w:r>
    </w:p>
    <w:p>
      <w:pPr>
        <w:numPr>
          <w:ilvl w:val="0"/>
          <w:numId w:val="0"/>
        </w:numPr>
        <w:tabs>
          <w:tab w:val="left" w:pos="210"/>
        </w:tabs>
        <w:spacing w:line="480" w:lineRule="auto"/>
        <w:rPr>
          <w:rFonts w:hint="eastAsia" w:ascii="宋体" w:hAnsi="宋体" w:eastAsia="宋体" w:cs="宋体"/>
          <w:sz w:val="24"/>
          <w:szCs w:val="24"/>
          <w:lang w:eastAsia="zh-CN"/>
        </w:rPr>
      </w:pPr>
      <w:r>
        <w:rPr>
          <w:rFonts w:hint="eastAsia" w:ascii="宋体" w:hAnsi="宋体" w:eastAsia="宋体" w:cs="宋体"/>
          <w:sz w:val="24"/>
          <w:szCs w:val="24"/>
        </w:rPr>
        <w:t>（4）在境外就医的</w:t>
      </w:r>
      <w:r>
        <w:rPr>
          <w:rFonts w:hint="eastAsia" w:ascii="宋体" w:hAnsi="宋体" w:eastAsia="宋体" w:cs="宋体"/>
          <w:sz w:val="24"/>
          <w:szCs w:val="24"/>
          <w:lang w:eastAsia="zh-CN"/>
        </w:rPr>
        <w:t>；</w:t>
      </w:r>
    </w:p>
    <w:p>
      <w:pPr>
        <w:numPr>
          <w:ilvl w:val="0"/>
          <w:numId w:val="0"/>
        </w:numPr>
        <w:tabs>
          <w:tab w:val="left" w:pos="210"/>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rPr>
        <w:t>按有关规定不予支付的其他情形</w:t>
      </w:r>
      <w:r>
        <w:rPr>
          <w:rFonts w:hint="eastAsia" w:ascii="宋体" w:hAnsi="宋体" w:eastAsia="宋体" w:cs="宋体"/>
          <w:sz w:val="24"/>
          <w:szCs w:val="24"/>
          <w:lang w:val="en-US" w:eastAsia="zh-CN"/>
        </w:rPr>
        <w:t>。</w:t>
      </w:r>
    </w:p>
    <w:p>
      <w:pPr>
        <w:numPr>
          <w:ilvl w:val="0"/>
          <w:numId w:val="0"/>
        </w:numPr>
        <w:tabs>
          <w:tab w:val="left" w:pos="210"/>
        </w:tabs>
        <w:rPr>
          <w:rFonts w:hint="eastAsia" w:ascii="宋体" w:hAnsi="宋体" w:eastAsia="宋体" w:cs="宋体"/>
          <w:sz w:val="32"/>
          <w:szCs w:val="32"/>
          <w:lang w:val="en-US" w:eastAsia="zh-CN"/>
        </w:rPr>
      </w:pPr>
    </w:p>
    <w:p>
      <w:pPr>
        <w:pStyle w:val="2"/>
        <w:bidi w:val="0"/>
        <w:jc w:val="center"/>
        <w:rPr>
          <w:rFonts w:hint="eastAsia" w:ascii="宋体" w:hAnsi="宋体" w:eastAsia="宋体" w:cs="宋体"/>
        </w:rPr>
      </w:pPr>
      <w:bookmarkStart w:id="9" w:name="_Toc2352"/>
      <w:r>
        <w:rPr>
          <w:rFonts w:hint="eastAsia" w:ascii="宋体" w:hAnsi="宋体" w:eastAsia="宋体" w:cs="宋体"/>
          <w:lang w:val="en-US" w:eastAsia="zh-CN"/>
        </w:rPr>
        <w:t>职工医保生育保险医疗待遇</w:t>
      </w:r>
      <w:bookmarkEnd w:id="9"/>
    </w:p>
    <w:p>
      <w:pPr>
        <w:adjustRightInd w:val="0"/>
        <w:spacing w:line="480" w:lineRule="auto"/>
        <w:rPr>
          <w:rFonts w:hint="eastAsia" w:ascii="宋体" w:hAnsi="宋体" w:eastAsia="宋体" w:cs="宋体"/>
          <w:b/>
          <w:bCs/>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b/>
          <w:bCs/>
          <w:color w:val="FF0000"/>
          <w:kern w:val="0"/>
          <w:sz w:val="24"/>
          <w:szCs w:val="24"/>
          <w:lang w:bidi="ar"/>
        </w:rPr>
        <w:t xml:space="preserve"> </w:t>
      </w:r>
      <w:r>
        <w:rPr>
          <w:rFonts w:hint="eastAsia" w:ascii="宋体" w:hAnsi="宋体" w:eastAsia="宋体" w:cs="宋体"/>
          <w:b/>
          <w:bCs/>
          <w:color w:val="000000" w:themeColor="text1"/>
          <w:kern w:val="0"/>
          <w:sz w:val="24"/>
          <w:szCs w:val="24"/>
          <w:lang w:eastAsia="zh-CN" w:bidi="ar"/>
          <w14:textFill>
            <w14:solidFill>
              <w14:schemeClr w14:val="tx1"/>
            </w14:solidFill>
          </w14:textFill>
        </w:rPr>
        <w:t>一、职工医保</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门诊</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可以享受哪些</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医疗待遇</w:t>
      </w:r>
      <w:r>
        <w:rPr>
          <w:rFonts w:hint="eastAsia" w:ascii="宋体" w:hAnsi="宋体" w:eastAsia="宋体" w:cs="宋体"/>
          <w:b/>
          <w:bCs/>
          <w:color w:val="000000" w:themeColor="text1"/>
          <w:kern w:val="0"/>
          <w:sz w:val="24"/>
          <w:szCs w:val="24"/>
          <w:highlight w:val="none"/>
          <w:lang w:eastAsia="zh-CN" w:bidi="ar"/>
          <w14:textFill>
            <w14:solidFill>
              <w14:schemeClr w14:val="tx1"/>
            </w14:solidFill>
          </w14:textFill>
        </w:rPr>
        <w:t>？</w:t>
      </w:r>
    </w:p>
    <w:p>
      <w:pPr>
        <w:adjustRightInd w:val="0"/>
        <w:spacing w:line="480" w:lineRule="auto"/>
        <w:rPr>
          <w:rFonts w:hint="eastAsia" w:ascii="宋体" w:hAnsi="宋体" w:eastAsia="宋体" w:cs="宋体"/>
          <w:b/>
          <w:bCs/>
          <w:color w:val="FF0000"/>
          <w:kern w:val="0"/>
          <w:sz w:val="24"/>
          <w:szCs w:val="24"/>
          <w:lang w:bidi="ar"/>
        </w:rPr>
      </w:pPr>
      <w:r>
        <w:rPr>
          <w:rFonts w:hint="eastAsia" w:ascii="宋体" w:hAnsi="宋体" w:eastAsia="宋体" w:cs="宋体"/>
          <w:b/>
          <w:bCs/>
          <w:color w:val="FF0000"/>
          <w:kern w:val="0"/>
          <w:sz w:val="24"/>
          <w:szCs w:val="24"/>
          <w:lang w:bidi="ar"/>
        </w:rPr>
        <w:t xml:space="preserve">    </w:t>
      </w:r>
      <w:r>
        <w:rPr>
          <w:rFonts w:hint="eastAsia" w:ascii="宋体" w:hAnsi="宋体" w:eastAsia="宋体" w:cs="宋体"/>
          <w:kern w:val="0"/>
          <w:sz w:val="24"/>
          <w:szCs w:val="24"/>
          <w:lang w:bidi="ar"/>
        </w:rPr>
        <w:t>门诊发生的符合规定的生育医疗费用按以下项目和限额标准纳入统筹基金支付：</w:t>
      </w:r>
    </w:p>
    <w:p>
      <w:pPr>
        <w:adjustRightInd w:val="0"/>
        <w:spacing w:line="48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    产前检查660元/例；宫内节育器放置（取出）术60元/例；避孕药皮下埋植（取出）术60元/例；输精（卵）管结扎术400元/例；刮宫术300元/例；环孕检15元/例。</w:t>
      </w:r>
    </w:p>
    <w:p>
      <w:pPr>
        <w:adjustRightInd w:val="0"/>
        <w:spacing w:line="480" w:lineRule="auto"/>
        <w:ind w:firstLine="640"/>
        <w:rPr>
          <w:rFonts w:hint="eastAsia" w:ascii="宋体" w:hAnsi="宋体" w:eastAsia="宋体" w:cs="宋体"/>
          <w:spacing w:val="-2"/>
          <w:kern w:val="0"/>
          <w:sz w:val="24"/>
          <w:szCs w:val="24"/>
          <w:lang w:bidi="ar"/>
        </w:rPr>
      </w:pPr>
      <w:r>
        <w:rPr>
          <w:rFonts w:hint="eastAsia" w:ascii="宋体" w:hAnsi="宋体" w:eastAsia="宋体" w:cs="宋体"/>
          <w:spacing w:val="-2"/>
          <w:kern w:val="0"/>
          <w:sz w:val="24"/>
          <w:szCs w:val="24"/>
          <w:lang w:bidi="ar"/>
        </w:rPr>
        <w:t>实际医疗费用低于上述限额标准的据实支付；实际医疗费用高于或等于上述限额标准的，按上述限额标准支付；超出限额标准部分由个人负担。</w:t>
      </w:r>
    </w:p>
    <w:p>
      <w:pPr>
        <w:numPr>
          <w:ilvl w:val="0"/>
          <w:numId w:val="1"/>
        </w:numPr>
        <w:adjustRightInd w:val="0"/>
        <w:spacing w:line="480" w:lineRule="auto"/>
        <w:ind w:firstLine="640"/>
        <w:rPr>
          <w:rFonts w:hint="eastAsia" w:ascii="宋体" w:hAnsi="宋体" w:eastAsia="宋体" w:cs="宋体"/>
          <w:spacing w:val="-2"/>
          <w:kern w:val="0"/>
          <w:sz w:val="24"/>
          <w:szCs w:val="24"/>
          <w:lang w:eastAsia="zh-CN" w:bidi="ar"/>
        </w:rPr>
      </w:pPr>
      <w:r>
        <w:rPr>
          <w:rFonts w:hint="eastAsia" w:ascii="宋体" w:hAnsi="宋体" w:eastAsia="宋体" w:cs="宋体"/>
          <w:spacing w:val="-2"/>
          <w:kern w:val="0"/>
          <w:sz w:val="24"/>
          <w:szCs w:val="24"/>
          <w:lang w:eastAsia="zh-CN" w:bidi="ar"/>
        </w:rPr>
        <w:t>住院发生的符合规定的生育医疗费用，执行职工基本医疗保险的起付标准、报销比例、年度最高支付限额等有关规定。</w:t>
      </w:r>
    </w:p>
    <w:p>
      <w:pPr>
        <w:numPr>
          <w:ilvl w:val="0"/>
          <w:numId w:val="0"/>
        </w:numPr>
        <w:adjustRightInd w:val="0"/>
        <w:rPr>
          <w:rFonts w:hint="eastAsia" w:ascii="宋体" w:hAnsi="宋体" w:eastAsia="宋体" w:cs="宋体"/>
          <w:spacing w:val="-2"/>
          <w:kern w:val="0"/>
          <w:sz w:val="32"/>
          <w:szCs w:val="32"/>
          <w:lang w:eastAsia="zh-CN" w:bidi="ar"/>
        </w:rPr>
      </w:pPr>
    </w:p>
    <w:p>
      <w:pPr>
        <w:numPr>
          <w:ilvl w:val="0"/>
          <w:numId w:val="0"/>
        </w:numPr>
        <w:adjustRightInd w:val="0"/>
        <w:rPr>
          <w:rFonts w:hint="eastAsia" w:ascii="宋体" w:hAnsi="宋体" w:eastAsia="宋体" w:cs="宋体"/>
          <w:spacing w:val="-2"/>
          <w:kern w:val="0"/>
          <w:sz w:val="32"/>
          <w:szCs w:val="32"/>
          <w:lang w:eastAsia="zh-CN" w:bidi="ar"/>
        </w:rPr>
      </w:pPr>
    </w:p>
    <w:p>
      <w:pPr>
        <w:pStyle w:val="2"/>
        <w:bidi w:val="0"/>
        <w:jc w:val="center"/>
        <w:rPr>
          <w:rFonts w:hint="eastAsia" w:ascii="宋体" w:hAnsi="宋体" w:eastAsia="宋体" w:cs="宋体"/>
          <w:sz w:val="24"/>
          <w:szCs w:val="24"/>
          <w:lang w:eastAsia="zh-CN"/>
        </w:rPr>
      </w:pPr>
      <w:bookmarkStart w:id="10" w:name="_Toc5729"/>
      <w:r>
        <w:rPr>
          <w:rFonts w:hint="eastAsia" w:ascii="宋体" w:hAnsi="宋体" w:eastAsia="宋体" w:cs="宋体"/>
          <w:lang w:val="en-US" w:eastAsia="zh-CN"/>
        </w:rPr>
        <w:t>贫困人口入、出院医保报销流程</w:t>
      </w:r>
      <w:bookmarkEnd w:id="10"/>
    </w:p>
    <w:p>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贫困人口持“入院卡”至</w:t>
      </w:r>
      <w:r>
        <w:rPr>
          <w:rFonts w:hint="eastAsia" w:ascii="宋体" w:hAnsi="宋体" w:eastAsia="宋体" w:cs="宋体"/>
          <w:sz w:val="24"/>
          <w:szCs w:val="24"/>
          <w:lang w:val="en-US" w:eastAsia="zh-CN"/>
        </w:rPr>
        <w:t>住院服务中心</w:t>
      </w:r>
      <w:r>
        <w:rPr>
          <w:rFonts w:hint="eastAsia" w:ascii="宋体" w:hAnsi="宋体" w:eastAsia="宋体" w:cs="宋体"/>
          <w:sz w:val="24"/>
          <w:szCs w:val="24"/>
          <w:lang w:eastAsia="zh-CN"/>
        </w:rPr>
        <w:t>办理入院手续，并提供贫困人口的相关证件</w:t>
      </w:r>
    </w:p>
    <w:p>
      <w:pPr>
        <w:spacing w:line="480" w:lineRule="auto"/>
        <w:jc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rPr>
        <w:t>↓</w:t>
      </w:r>
    </w:p>
    <w:p>
      <w:pPr>
        <w:spacing w:line="48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窗口</w:t>
      </w:r>
      <w:r>
        <w:rPr>
          <w:rFonts w:hint="eastAsia" w:ascii="宋体" w:hAnsi="宋体" w:eastAsia="宋体" w:cs="宋体"/>
          <w:sz w:val="24"/>
          <w:szCs w:val="24"/>
          <w:lang w:val="en-US" w:eastAsia="zh-CN"/>
        </w:rPr>
        <w:t>工作</w:t>
      </w:r>
      <w:r>
        <w:rPr>
          <w:rFonts w:hint="eastAsia" w:ascii="宋体" w:hAnsi="宋体" w:eastAsia="宋体" w:cs="宋体"/>
          <w:sz w:val="24"/>
          <w:szCs w:val="24"/>
          <w:lang w:eastAsia="zh-CN"/>
        </w:rPr>
        <w:t>人员经认真审核相关证件后，对符合条件的贫困人员</w:t>
      </w:r>
      <w:r>
        <w:rPr>
          <w:rFonts w:hint="eastAsia" w:ascii="宋体" w:hAnsi="宋体" w:eastAsia="宋体" w:cs="宋体"/>
          <w:color w:val="FF0000"/>
          <w:sz w:val="24"/>
          <w:szCs w:val="24"/>
          <w:lang w:val="en-US" w:eastAsia="zh-CN"/>
        </w:rPr>
        <w:t>无需缴纳住</w:t>
      </w:r>
      <w:r>
        <w:rPr>
          <w:rFonts w:hint="eastAsia" w:ascii="宋体" w:hAnsi="宋体" w:eastAsia="宋体" w:cs="宋体"/>
          <w:color w:val="FF0000"/>
          <w:sz w:val="24"/>
          <w:szCs w:val="24"/>
          <w:lang w:eastAsia="zh-CN"/>
        </w:rPr>
        <w:t>院押金</w:t>
      </w:r>
      <w:r>
        <w:rPr>
          <w:rFonts w:hint="eastAsia" w:ascii="宋体" w:hAnsi="宋体" w:eastAsia="宋体" w:cs="宋体"/>
          <w:sz w:val="24"/>
          <w:szCs w:val="24"/>
          <w:lang w:eastAsia="zh-CN"/>
        </w:rPr>
        <w:t>即</w:t>
      </w:r>
      <w:r>
        <w:rPr>
          <w:rFonts w:hint="eastAsia" w:ascii="宋体" w:hAnsi="宋体" w:eastAsia="宋体" w:cs="宋体"/>
          <w:sz w:val="24"/>
          <w:szCs w:val="24"/>
          <w:lang w:val="en-US" w:eastAsia="zh-CN"/>
        </w:rPr>
        <w:t>可</w:t>
      </w:r>
      <w:r>
        <w:rPr>
          <w:rFonts w:hint="eastAsia" w:ascii="宋体" w:hAnsi="宋体" w:eastAsia="宋体" w:cs="宋体"/>
          <w:sz w:val="24"/>
          <w:szCs w:val="24"/>
          <w:lang w:eastAsia="zh-CN"/>
        </w:rPr>
        <w:t>住院（先诊疗、后付费）</w:t>
      </w:r>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科室</w:t>
      </w:r>
      <w:r>
        <w:rPr>
          <w:rFonts w:hint="eastAsia" w:ascii="宋体" w:hAnsi="宋体" w:eastAsia="宋体" w:cs="宋体"/>
          <w:sz w:val="24"/>
          <w:szCs w:val="24"/>
          <w:lang w:val="en-US" w:eastAsia="zh-CN"/>
        </w:rPr>
        <w:t>住院</w:t>
      </w:r>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spacing w:line="480" w:lineRule="auto"/>
        <w:jc w:val="center"/>
        <w:outlineLvl w:val="0"/>
        <w:rPr>
          <w:rFonts w:hint="eastAsia" w:ascii="宋体" w:hAnsi="宋体" w:eastAsia="宋体" w:cs="宋体"/>
          <w:sz w:val="24"/>
          <w:szCs w:val="24"/>
          <w:lang w:eastAsia="zh-CN"/>
        </w:rPr>
      </w:pPr>
      <w:bookmarkStart w:id="11" w:name="_Toc27224"/>
      <w:r>
        <w:rPr>
          <w:rFonts w:hint="eastAsia" w:ascii="宋体" w:hAnsi="宋体" w:eastAsia="宋体" w:cs="宋体"/>
          <w:sz w:val="24"/>
          <w:szCs w:val="24"/>
          <w:lang w:eastAsia="zh-CN"/>
        </w:rPr>
        <w:t>医务人员再次审查核实贫困病人的</w:t>
      </w:r>
      <w:bookmarkEnd w:id="11"/>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相关证件，安排至扶贫病房</w:t>
      </w:r>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医务人员对贫困病人进行诊治</w:t>
      </w:r>
    </w:p>
    <w:p>
      <w:pPr>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出院至住院服务中心一站式结算</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基本医保、大病保险、民政救助等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，贫困病人只需付</w:t>
      </w:r>
      <w:r>
        <w:rPr>
          <w:rFonts w:hint="eastAsia" w:ascii="宋体" w:hAnsi="宋体" w:eastAsia="宋体" w:cs="宋体"/>
          <w:sz w:val="24"/>
          <w:szCs w:val="24"/>
          <w:lang w:val="en-US" w:eastAsia="zh-CN"/>
        </w:rPr>
        <w:t>个人支付部分即可办理出院</w:t>
      </w:r>
    </w:p>
    <w:p>
      <w:pPr>
        <w:numPr>
          <w:ilvl w:val="0"/>
          <w:numId w:val="0"/>
        </w:numPr>
        <w:tabs>
          <w:tab w:val="left" w:pos="210"/>
        </w:tabs>
        <w:rPr>
          <w:rFonts w:hint="eastAsia" w:ascii="宋体" w:hAnsi="宋体" w:eastAsia="宋体" w:cs="宋体"/>
          <w:sz w:val="32"/>
          <w:szCs w:val="32"/>
          <w:lang w:val="en-US" w:eastAsia="zh-CN"/>
        </w:rPr>
      </w:pPr>
    </w:p>
    <w:bookmarkEnd w:i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兰亭黑_GBK">
    <w:panose1 w:val="02000000000000000000"/>
    <w:charset w:val="86"/>
    <w:family w:val="auto"/>
    <w:pitch w:val="default"/>
    <w:sig w:usb0="800002BF" w:usb1="38CF7CFA" w:usb2="00000016" w:usb3="00000000" w:csb0="00040000" w:csb1="00000000"/>
  </w:font>
  <w:font w:name="汉仪雅酷黑简">
    <w:panose1 w:val="00020600040101010101"/>
    <w:charset w:val="86"/>
    <w:family w:val="auto"/>
    <w:pitch w:val="default"/>
    <w:sig w:usb0="A00002BF" w:usb1="1AC1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9280D"/>
    <w:multiLevelType w:val="singleLevel"/>
    <w:tmpl w:val="F71928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ZGRkODAyMjhmNmExMWJmZmIxNTU3Yjk3Y2YzOTIifQ=="/>
  </w:docVars>
  <w:rsids>
    <w:rsidRoot w:val="00000000"/>
    <w:rsid w:val="02440C12"/>
    <w:rsid w:val="033C2BF5"/>
    <w:rsid w:val="04657201"/>
    <w:rsid w:val="09251539"/>
    <w:rsid w:val="09B94AF8"/>
    <w:rsid w:val="0AE77BE9"/>
    <w:rsid w:val="0B2C4ECF"/>
    <w:rsid w:val="142A734E"/>
    <w:rsid w:val="16DE6045"/>
    <w:rsid w:val="17514442"/>
    <w:rsid w:val="18DD40DB"/>
    <w:rsid w:val="1C297D63"/>
    <w:rsid w:val="1E595854"/>
    <w:rsid w:val="241F1D71"/>
    <w:rsid w:val="2649292E"/>
    <w:rsid w:val="299B35AE"/>
    <w:rsid w:val="2A3209A5"/>
    <w:rsid w:val="2C9D1200"/>
    <w:rsid w:val="2D5E7D51"/>
    <w:rsid w:val="2DB33061"/>
    <w:rsid w:val="30405CE3"/>
    <w:rsid w:val="30527FC0"/>
    <w:rsid w:val="32535CE3"/>
    <w:rsid w:val="33A361F5"/>
    <w:rsid w:val="35BE4ACA"/>
    <w:rsid w:val="36AE400E"/>
    <w:rsid w:val="402C642A"/>
    <w:rsid w:val="403C325D"/>
    <w:rsid w:val="46967B36"/>
    <w:rsid w:val="46F72BCA"/>
    <w:rsid w:val="4A92362F"/>
    <w:rsid w:val="4CA24E44"/>
    <w:rsid w:val="4D43247E"/>
    <w:rsid w:val="4D605B35"/>
    <w:rsid w:val="531234F1"/>
    <w:rsid w:val="583C6047"/>
    <w:rsid w:val="585E4DD1"/>
    <w:rsid w:val="59E16615"/>
    <w:rsid w:val="64BA139F"/>
    <w:rsid w:val="65D909E0"/>
    <w:rsid w:val="680A3A1A"/>
    <w:rsid w:val="6F9477F2"/>
    <w:rsid w:val="74D267EF"/>
    <w:rsid w:val="7D2C044B"/>
    <w:rsid w:val="7F43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3645</Words>
  <Characters>3915</Characters>
  <Lines>0</Lines>
  <Paragraphs>0</Paragraphs>
  <TotalTime>11</TotalTime>
  <ScaleCrop>false</ScaleCrop>
  <LinksUpToDate>false</LinksUpToDate>
  <CharactersWithSpaces>3939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2022-11-11T07:00:00Z</dcterms:created>
  <dc:creator>Chinalife</dc:creator>
  <cp:lastModifiedBy>Msao</cp:lastModifiedBy>
  <cp:lastPrinted>2022-11-15T00:30:00Z</cp:lastPrinted>
  <dcterms:modified xsi:type="dcterms:W3CDTF">2023-11-22T01:58:51Z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4D5D3840571446E8B8F63D63A06D206A_13</vt:lpwstr>
  </property>
</Properties>
</file>